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4FB2" w14:textId="3B60AA50" w:rsidR="00295180" w:rsidRPr="00F10194" w:rsidRDefault="007B59A9" w:rsidP="00F10194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令和２</w:t>
      </w:r>
      <w:r w:rsidR="00C4381E">
        <w:rPr>
          <w:rFonts w:hint="eastAsia"/>
          <w:b/>
          <w:sz w:val="28"/>
          <w:szCs w:val="28"/>
          <w:u w:val="single"/>
        </w:rPr>
        <w:t>年度秋</w:t>
      </w:r>
      <w:r w:rsidR="000A587C">
        <w:rPr>
          <w:rFonts w:hint="eastAsia"/>
          <w:b/>
          <w:sz w:val="28"/>
          <w:szCs w:val="28"/>
          <w:u w:val="single"/>
        </w:rPr>
        <w:t>季審判講習会</w:t>
      </w:r>
      <w:r w:rsidR="00F10194" w:rsidRPr="00F10194">
        <w:rPr>
          <w:rFonts w:hint="eastAsia"/>
          <w:b/>
          <w:sz w:val="28"/>
          <w:szCs w:val="28"/>
          <w:u w:val="single"/>
        </w:rPr>
        <w:t>報告書</w:t>
      </w:r>
    </w:p>
    <w:p w14:paraId="7E7D3DFF" w14:textId="77777777" w:rsidR="00F10194" w:rsidRDefault="00F10194" w:rsidP="00F10194">
      <w:pPr>
        <w:jc w:val="center"/>
        <w:rPr>
          <w:szCs w:val="21"/>
        </w:rPr>
      </w:pPr>
    </w:p>
    <w:p w14:paraId="25C053C7" w14:textId="77777777" w:rsidR="000A587C" w:rsidRDefault="00030659" w:rsidP="00B37C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館林支部　</w:t>
      </w:r>
      <w:r w:rsidR="000A587C">
        <w:rPr>
          <w:rFonts w:hint="eastAsia"/>
          <w:sz w:val="22"/>
        </w:rPr>
        <w:t>堀越　春幸</w:t>
      </w:r>
    </w:p>
    <w:p w14:paraId="5E5AC1BF" w14:textId="7A0ED71C" w:rsidR="00030659" w:rsidRDefault="000035D4" w:rsidP="0003065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B59A9">
        <w:rPr>
          <w:rFonts w:hint="eastAsia"/>
          <w:sz w:val="22"/>
        </w:rPr>
        <w:t>横山　大助</w:t>
      </w:r>
    </w:p>
    <w:p w14:paraId="5AC7AF07" w14:textId="6C15E701" w:rsidR="00F10194" w:rsidRDefault="000A587C" w:rsidP="007B59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7B59A9">
        <w:rPr>
          <w:rFonts w:hint="eastAsia"/>
          <w:sz w:val="22"/>
        </w:rPr>
        <w:t>佐々木　光生</w:t>
      </w:r>
    </w:p>
    <w:p w14:paraId="1F4BF326" w14:textId="4CF4315E" w:rsidR="007B59A9" w:rsidRPr="00F4304E" w:rsidRDefault="007B59A9" w:rsidP="007B59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山根　</w:t>
      </w:r>
      <w:r w:rsidRPr="007B59A9">
        <w:rPr>
          <w:rFonts w:hint="eastAsia"/>
          <w:sz w:val="22"/>
        </w:rPr>
        <w:t>伸允</w:t>
      </w:r>
    </w:p>
    <w:p w14:paraId="399275F0" w14:textId="77777777" w:rsidR="00F10194" w:rsidRDefault="00F10194" w:rsidP="00295180"/>
    <w:p w14:paraId="42C33C39" w14:textId="77777777" w:rsidR="002305D7" w:rsidRDefault="002305D7" w:rsidP="00295180"/>
    <w:p w14:paraId="56EA2DD9" w14:textId="0CAE7A8F" w:rsidR="001B370E" w:rsidRPr="00F505B1" w:rsidRDefault="007B117C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</w:t>
      </w:r>
      <w:r w:rsidR="002D22D2" w:rsidRPr="00F505B1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</w:t>
      </w:r>
      <w:r w:rsidR="002D22D2" w:rsidRPr="00F505B1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22</w:t>
      </w:r>
      <w:r w:rsidR="00B37CED">
        <w:rPr>
          <w:rFonts w:asciiTheme="minorEastAsia" w:hAnsiTheme="minorEastAsia" w:hint="eastAsia"/>
          <w:szCs w:val="21"/>
        </w:rPr>
        <w:t>日上毛新聞敷島野球場で開催されました群馬県野球連盟秋</w:t>
      </w:r>
      <w:r w:rsidR="001B370E" w:rsidRPr="00F505B1">
        <w:rPr>
          <w:rFonts w:asciiTheme="minorEastAsia" w:hAnsiTheme="minorEastAsia" w:hint="eastAsia"/>
          <w:szCs w:val="21"/>
        </w:rPr>
        <w:t>季審</w:t>
      </w:r>
      <w:r w:rsidR="000035D4">
        <w:rPr>
          <w:rFonts w:asciiTheme="minorEastAsia" w:hAnsiTheme="minorEastAsia" w:hint="eastAsia"/>
          <w:szCs w:val="21"/>
        </w:rPr>
        <w:t>判実技</w:t>
      </w:r>
      <w:r w:rsidR="00B37CED">
        <w:rPr>
          <w:rFonts w:asciiTheme="minorEastAsia" w:hAnsiTheme="minorEastAsia" w:hint="eastAsia"/>
          <w:szCs w:val="21"/>
        </w:rPr>
        <w:t>伝達講習会に参加致しましたので、講習内容および、今年度の変更に伴う確認事項を</w:t>
      </w:r>
      <w:r w:rsidR="000035D4">
        <w:rPr>
          <w:rFonts w:asciiTheme="minorEastAsia" w:hAnsiTheme="minorEastAsia" w:hint="eastAsia"/>
          <w:szCs w:val="21"/>
        </w:rPr>
        <w:t>報告するとともに</w:t>
      </w:r>
      <w:r w:rsidR="001B370E" w:rsidRPr="00F505B1">
        <w:rPr>
          <w:rFonts w:asciiTheme="minorEastAsia" w:hAnsiTheme="minorEastAsia" w:hint="eastAsia"/>
          <w:szCs w:val="21"/>
        </w:rPr>
        <w:t>、支部審判員に伝達を行います。</w:t>
      </w:r>
    </w:p>
    <w:p w14:paraId="70EDC12F" w14:textId="77777777" w:rsidR="00936566" w:rsidRPr="00F505B1" w:rsidRDefault="00936566" w:rsidP="00295180">
      <w:pPr>
        <w:rPr>
          <w:rFonts w:asciiTheme="minorEastAsia" w:hAnsiTheme="minorEastAsia"/>
          <w:szCs w:val="21"/>
        </w:rPr>
      </w:pPr>
    </w:p>
    <w:p w14:paraId="6C1922BB" w14:textId="77777777" w:rsidR="002D57CD" w:rsidRPr="00F505B1" w:rsidRDefault="002D57CD" w:rsidP="00295180">
      <w:pPr>
        <w:rPr>
          <w:rFonts w:asciiTheme="minorEastAsia" w:hAnsiTheme="minorEastAsia"/>
          <w:szCs w:val="21"/>
        </w:rPr>
      </w:pPr>
    </w:p>
    <w:p w14:paraId="1B56471D" w14:textId="77777777" w:rsidR="00854BD9" w:rsidRPr="00F505B1" w:rsidRDefault="00854BD9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Go-Sop-Call</w:t>
      </w:r>
    </w:p>
    <w:p w14:paraId="57F2DBA8" w14:textId="77777777" w:rsidR="00854BD9" w:rsidRPr="00F505B1" w:rsidRDefault="00854BD9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審判の基本</w:t>
      </w:r>
      <w:r w:rsidR="00296AA5" w:rsidRPr="00F505B1">
        <w:rPr>
          <w:rFonts w:asciiTheme="minorEastAsia" w:hAnsiTheme="minorEastAsia" w:hint="eastAsia"/>
          <w:szCs w:val="21"/>
        </w:rPr>
        <w:t>姿勢及び</w:t>
      </w:r>
      <w:r w:rsidRPr="00F505B1">
        <w:rPr>
          <w:rFonts w:asciiTheme="minorEastAsia" w:hAnsiTheme="minorEastAsia" w:hint="eastAsia"/>
          <w:szCs w:val="21"/>
        </w:rPr>
        <w:t>動作の反復練習</w:t>
      </w:r>
    </w:p>
    <w:p w14:paraId="1AE197BF" w14:textId="77777777" w:rsidR="00854BD9" w:rsidRPr="00F505B1" w:rsidRDefault="00854BD9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</w:t>
      </w:r>
      <w:r w:rsidR="00773846" w:rsidRPr="00F505B1">
        <w:rPr>
          <w:rFonts w:asciiTheme="minorEastAsia" w:hAnsiTheme="minorEastAsia" w:hint="eastAsia"/>
          <w:szCs w:val="21"/>
        </w:rPr>
        <w:t>止まって</w:t>
      </w:r>
      <w:r w:rsidR="00296AA5" w:rsidRPr="00F505B1">
        <w:rPr>
          <w:rFonts w:asciiTheme="minorEastAsia" w:hAnsiTheme="minorEastAsia" w:hint="eastAsia"/>
          <w:szCs w:val="21"/>
        </w:rPr>
        <w:t>確実に</w:t>
      </w:r>
      <w:r w:rsidR="00773846" w:rsidRPr="00F505B1">
        <w:rPr>
          <w:rFonts w:asciiTheme="minorEastAsia" w:hAnsiTheme="minorEastAsia" w:hint="eastAsia"/>
          <w:szCs w:val="21"/>
        </w:rPr>
        <w:t>プレイを見る為に走り方、足の運びかた、止まり方を意識し</w:t>
      </w:r>
    </w:p>
    <w:p w14:paraId="5B873A73" w14:textId="77777777" w:rsidR="007B03BD" w:rsidRDefault="00773846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その上ではっきりとコールする事を心掛けて行った。</w:t>
      </w:r>
      <w:r w:rsidR="007B03BD">
        <w:rPr>
          <w:rFonts w:asciiTheme="minorEastAsia" w:hAnsiTheme="minorEastAsia" w:hint="eastAsia"/>
          <w:szCs w:val="21"/>
        </w:rPr>
        <w:t>注意点として左足スタート、</w:t>
      </w:r>
    </w:p>
    <w:p w14:paraId="6DDA333A" w14:textId="77777777" w:rsidR="007B03BD" w:rsidRPr="00F505B1" w:rsidRDefault="007B03BD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左足で止まり、走る時は目線を下げない、横を意識して隊列が乱れない事。</w:t>
      </w:r>
    </w:p>
    <w:p w14:paraId="66EC3606" w14:textId="77777777" w:rsidR="00773846" w:rsidRPr="00F505B1" w:rsidRDefault="00773846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セットにおいても、ハンズ・オン・ニーズ・セットポジション</w:t>
      </w:r>
      <w:r w:rsidR="00330445" w:rsidRPr="00F505B1">
        <w:rPr>
          <w:rFonts w:asciiTheme="minorEastAsia" w:hAnsiTheme="minorEastAsia" w:hint="eastAsia"/>
          <w:szCs w:val="21"/>
        </w:rPr>
        <w:t>で頭を上げて</w:t>
      </w:r>
    </w:p>
    <w:p w14:paraId="0EE16B0F" w14:textId="77777777" w:rsidR="00330445" w:rsidRPr="00F505B1" w:rsidRDefault="00330445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目線をプレイにキープする事を想定し、膝を軽く曲げ、腰から背中はまっすぐに</w:t>
      </w:r>
    </w:p>
    <w:p w14:paraId="78D4E0FB" w14:textId="77777777" w:rsidR="00330445" w:rsidRPr="00F505B1" w:rsidRDefault="00330445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する事を意識する。</w:t>
      </w:r>
    </w:p>
    <w:p w14:paraId="19C808C7" w14:textId="77777777" w:rsidR="00D71CD5" w:rsidRPr="00F505B1" w:rsidRDefault="00D71CD5" w:rsidP="00295180">
      <w:pPr>
        <w:rPr>
          <w:rFonts w:asciiTheme="minorEastAsia" w:hAnsiTheme="minorEastAsia"/>
          <w:szCs w:val="21"/>
        </w:rPr>
      </w:pPr>
    </w:p>
    <w:p w14:paraId="2A057D0E" w14:textId="77777777" w:rsidR="00D71CD5" w:rsidRPr="00F505B1" w:rsidRDefault="00D71CD5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アウトのコールは、セットポジションの姿勢から一連の動作で立ち上がりながら</w:t>
      </w:r>
    </w:p>
    <w:p w14:paraId="2F9B55DB" w14:textId="77777777" w:rsidR="000035D4" w:rsidRDefault="00D71CD5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</w:t>
      </w:r>
      <w:r w:rsidR="000035D4">
        <w:rPr>
          <w:rFonts w:asciiTheme="minorEastAsia" w:hAnsiTheme="minorEastAsia" w:hint="eastAsia"/>
          <w:szCs w:val="21"/>
        </w:rPr>
        <w:t xml:space="preserve">　右ヒジを肩の高さまで上げ、右斜め前のドアをノックする様にキレを意識して</w:t>
      </w:r>
    </w:p>
    <w:p w14:paraId="75398F3E" w14:textId="77777777" w:rsidR="00D71CD5" w:rsidRPr="00F505B1" w:rsidRDefault="00D71CD5" w:rsidP="000035D4">
      <w:pPr>
        <w:ind w:firstLineChars="300" w:firstLine="63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コールする</w:t>
      </w:r>
      <w:r w:rsidR="000035D4">
        <w:rPr>
          <w:rFonts w:asciiTheme="minorEastAsia" w:hAnsiTheme="minorEastAsia" w:hint="eastAsia"/>
          <w:szCs w:val="21"/>
        </w:rPr>
        <w:t>。その際に左手は前に持ってくるのではなく、体の横におく。</w:t>
      </w:r>
    </w:p>
    <w:p w14:paraId="3C3931D0" w14:textId="77777777" w:rsidR="00D71CD5" w:rsidRPr="00F505B1" w:rsidRDefault="00D71CD5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セーフのコールは</w:t>
      </w:r>
      <w:r w:rsidR="00001656" w:rsidRPr="00F505B1">
        <w:rPr>
          <w:rFonts w:asciiTheme="minorEastAsia" w:hAnsiTheme="minorEastAsia" w:hint="eastAsia"/>
          <w:szCs w:val="21"/>
        </w:rPr>
        <w:t>、セットポジションの姿勢から一連の動作で立ち上がりながら</w:t>
      </w:r>
    </w:p>
    <w:p w14:paraId="7938CECD" w14:textId="77777777" w:rsidR="00001656" w:rsidRPr="00F505B1" w:rsidRDefault="00001656" w:rsidP="00295180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</w:t>
      </w:r>
      <w:r w:rsidR="006E3D57" w:rsidRPr="00F505B1">
        <w:rPr>
          <w:rFonts w:asciiTheme="minorEastAsia" w:hAnsiTheme="minorEastAsia" w:hint="eastAsia"/>
          <w:szCs w:val="21"/>
        </w:rPr>
        <w:t>両腕を体の前面の肩の高さ止める。その時に腕がクロスさせない様に注意する</w:t>
      </w:r>
    </w:p>
    <w:p w14:paraId="6DE87741" w14:textId="27039765" w:rsidR="00F37FB4" w:rsidRDefault="006E3D57" w:rsidP="007B117C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(視界を遮らない為)。その後にコールと共に両腕を水平に広げる</w:t>
      </w:r>
    </w:p>
    <w:p w14:paraId="0A33EBA2" w14:textId="77777777" w:rsidR="00BA6B88" w:rsidRDefault="00BA6B88" w:rsidP="00295180">
      <w:pPr>
        <w:rPr>
          <w:rFonts w:asciiTheme="minorEastAsia" w:hAnsiTheme="minorEastAsia"/>
          <w:szCs w:val="21"/>
        </w:rPr>
      </w:pPr>
    </w:p>
    <w:p w14:paraId="35D9A50A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ストライクゾーンの確認と球審の姿勢</w:t>
      </w:r>
    </w:p>
    <w:p w14:paraId="799D4F44" w14:textId="77777777" w:rsidR="007B117C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今回は秋季講習と言う事で球審の姿勢とトラッキングの確認。下記を意識して</w:t>
      </w:r>
    </w:p>
    <w:p w14:paraId="22F6CD5B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行う事。</w:t>
      </w:r>
    </w:p>
    <w:p w14:paraId="7130D407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そのゾーンとベース全体が良く見える位置でスロットポジションの姿勢を取る。</w:t>
      </w:r>
    </w:p>
    <w:p w14:paraId="794304AE" w14:textId="5AE678B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ス</w:t>
      </w:r>
      <w:r w:rsidR="008D2FCE">
        <w:rPr>
          <w:rFonts w:asciiTheme="minorEastAsia" w:hAnsiTheme="minorEastAsia" w:hint="eastAsia"/>
          <w:szCs w:val="21"/>
        </w:rPr>
        <w:t>ロ</w:t>
      </w:r>
      <w:r w:rsidRPr="00F505B1">
        <w:rPr>
          <w:rFonts w:asciiTheme="minorEastAsia" w:hAnsiTheme="minorEastAsia" w:hint="eastAsia"/>
          <w:szCs w:val="21"/>
        </w:rPr>
        <w:t>ットポジションは</w:t>
      </w:r>
      <w:r>
        <w:rPr>
          <w:rFonts w:asciiTheme="minorEastAsia" w:hAnsiTheme="minorEastAsia" w:hint="eastAsia"/>
          <w:szCs w:val="21"/>
        </w:rPr>
        <w:t>、ホームプレートの内側にラインに自分の体の中心を置き</w:t>
      </w:r>
    </w:p>
    <w:p w14:paraId="1B177608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正面から見て、自分の耳が捕手のマスクの自分側が掠る位置を意識する。</w:t>
      </w:r>
    </w:p>
    <w:p w14:paraId="6E17DD41" w14:textId="6BF30FAC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lastRenderedPageBreak/>
        <w:t xml:space="preserve">　　スロットフットと</w:t>
      </w:r>
      <w:r w:rsidR="0063114E">
        <w:rPr>
          <w:rFonts w:asciiTheme="minorEastAsia" w:hAnsiTheme="minorEastAsia" w:hint="eastAsia"/>
          <w:szCs w:val="21"/>
        </w:rPr>
        <w:t>アン</w:t>
      </w:r>
      <w:r w:rsidR="00BF3E08">
        <w:rPr>
          <w:rFonts w:asciiTheme="minorEastAsia" w:hAnsiTheme="minorEastAsia" w:hint="eastAsia"/>
          <w:szCs w:val="21"/>
        </w:rPr>
        <w:t>スロット</w:t>
      </w:r>
      <w:r w:rsidRPr="00F505B1">
        <w:rPr>
          <w:rFonts w:asciiTheme="minorEastAsia" w:hAnsiTheme="minorEastAsia" w:hint="eastAsia"/>
          <w:szCs w:val="21"/>
        </w:rPr>
        <w:t>フットの位置をHeel・Toe・Heel・Toeに合わせる。</w:t>
      </w:r>
    </w:p>
    <w:p w14:paraId="24900A57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オン・ザ・ラバー/</w:t>
      </w:r>
      <w:r>
        <w:rPr>
          <w:rFonts w:asciiTheme="minorEastAsia" w:hAnsiTheme="minorEastAsia" w:hint="eastAsia"/>
          <w:szCs w:val="21"/>
        </w:rPr>
        <w:t>ゲットセ</w:t>
      </w:r>
      <w:r w:rsidRPr="00F505B1">
        <w:rPr>
          <w:rFonts w:asciiTheme="minorEastAsia" w:hAnsiTheme="minorEastAsia" w:hint="eastAsia"/>
          <w:szCs w:val="21"/>
        </w:rPr>
        <w:t>ット/コール/リラックスを一定のリズムで行える様、</w:t>
      </w:r>
    </w:p>
    <w:p w14:paraId="44E96BAB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意識する。リラックスする時はトレイルフットを先に下げる事で、次の姿勢でも</w:t>
      </w:r>
    </w:p>
    <w:p w14:paraId="49D46493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軸がぶれる事なく、同じ位置に入る事が出来る。</w:t>
      </w:r>
    </w:p>
    <w:p w14:paraId="742332FE" w14:textId="77777777" w:rsidR="007B117C" w:rsidRPr="00F505B1" w:rsidRDefault="007B117C" w:rsidP="007B117C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　タイミングは投手が投球動作を開始したら、ゲットセットの姿勢をつくる。</w:t>
      </w:r>
    </w:p>
    <w:p w14:paraId="05682114" w14:textId="77777777" w:rsidR="007B117C" w:rsidRPr="00F505B1" w:rsidRDefault="007B117C" w:rsidP="007B117C">
      <w:pPr>
        <w:ind w:firstLineChars="300" w:firstLine="63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投球を開始したら、立ち遅れない様に投手の自由な足が地面についた時は姿勢を</w:t>
      </w:r>
    </w:p>
    <w:p w14:paraId="06C9B7D6" w14:textId="77777777" w:rsidR="007B117C" w:rsidRPr="00F505B1" w:rsidRDefault="007B117C" w:rsidP="007B117C">
      <w:pPr>
        <w:ind w:firstLineChars="300" w:firstLine="63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整える。</w:t>
      </w:r>
    </w:p>
    <w:p w14:paraId="039E4FBB" w14:textId="77777777" w:rsidR="007B117C" w:rsidRPr="00F505B1" w:rsidRDefault="007B117C" w:rsidP="007B117C">
      <w:pPr>
        <w:rPr>
          <w:rFonts w:asciiTheme="minorEastAsia" w:hAnsiTheme="minorEastAsia"/>
          <w:szCs w:val="21"/>
        </w:rPr>
      </w:pPr>
    </w:p>
    <w:p w14:paraId="6B657B3E" w14:textId="77777777" w:rsidR="007B117C" w:rsidRPr="00F505B1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投球判定</w:t>
      </w:r>
    </w:p>
    <w:p w14:paraId="2F35F036" w14:textId="77777777" w:rsidR="007B117C" w:rsidRPr="00F505B1" w:rsidRDefault="007B117C" w:rsidP="007B117C">
      <w:pPr>
        <w:ind w:firstLineChars="100" w:firstLine="21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スロットポジションでベース全体が見える位置での球審の構えを意識し、投球を</w:t>
      </w:r>
    </w:p>
    <w:p w14:paraId="434D16AB" w14:textId="77777777" w:rsidR="007B117C" w:rsidRPr="00F505B1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目で追うトラックングを行い、コール姿勢、タイミングを意識して行った。</w:t>
      </w:r>
    </w:p>
    <w:p w14:paraId="7F6B69CC" w14:textId="77777777" w:rsidR="007B117C" w:rsidRPr="00F505B1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打者もバッターボックスに立ちましたので、打者の構え等で投手が見えにくくなるが、</w:t>
      </w:r>
    </w:p>
    <w:p w14:paraId="56C6A27B" w14:textId="77777777" w:rsidR="007B117C" w:rsidRPr="00F505B1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顔の位置を調整したりすることで、投手が見える様になるので、自分なりに、投手が</w:t>
      </w:r>
    </w:p>
    <w:p w14:paraId="1D542DC4" w14:textId="77777777" w:rsidR="007B117C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見えやすい構えを見つける事。</w:t>
      </w:r>
      <w:r>
        <w:rPr>
          <w:rFonts w:asciiTheme="minorEastAsia" w:hAnsiTheme="minorEastAsia" w:hint="eastAsia"/>
          <w:szCs w:val="21"/>
        </w:rPr>
        <w:t>また、打者は投球の際にバットを引くので、球審は</w:t>
      </w:r>
    </w:p>
    <w:p w14:paraId="416C6CF4" w14:textId="77777777" w:rsidR="007B117C" w:rsidRPr="00F505B1" w:rsidRDefault="007B117C" w:rsidP="007B117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その位置をキープしていれば、投球は見える様になる。</w:t>
      </w:r>
    </w:p>
    <w:p w14:paraId="779CA1AE" w14:textId="77777777" w:rsidR="007B117C" w:rsidRPr="00F505B1" w:rsidRDefault="007B117C" w:rsidP="007B117C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F505B1">
        <w:rPr>
          <w:rFonts w:asciiTheme="minorEastAsia" w:hAnsiTheme="minorEastAsia" w:cs="ＭＳ Ｐゴシック" w:hint="eastAsia"/>
          <w:color w:val="000000"/>
          <w:kern w:val="0"/>
          <w:szCs w:val="21"/>
        </w:rPr>
        <w:t>ストライクのコールはキレを意思し、ヒジを顔の高さまで上げてからコールとともに</w:t>
      </w:r>
    </w:p>
    <w:p w14:paraId="4EF396A2" w14:textId="77777777" w:rsidR="007B117C" w:rsidRPr="00661E59" w:rsidRDefault="007B117C" w:rsidP="007B117C">
      <w:pPr>
        <w:ind w:leftChars="200" w:left="42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ヒジを基点としてドアを強くノックする様に叩く様に意識を持ち、コールも大きな声でしっかり</w:t>
      </w:r>
      <w:r w:rsidRPr="00F505B1">
        <w:rPr>
          <w:rFonts w:asciiTheme="minorEastAsia" w:hAnsiTheme="minorEastAsia" w:cs="ＭＳ Ｐゴシック" w:hint="eastAsia"/>
          <w:color w:val="000000"/>
          <w:kern w:val="0"/>
          <w:szCs w:val="21"/>
        </w:rPr>
        <w:t>発声する。</w:t>
      </w:r>
    </w:p>
    <w:p w14:paraId="71E69998" w14:textId="5E4629D6" w:rsidR="007B117C" w:rsidRDefault="007B117C" w:rsidP="007B117C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4BFCF02" w14:textId="23052CB5" w:rsidR="007D6271" w:rsidRDefault="007D6271" w:rsidP="007B117C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ハーフスイングのリクエストは、左手で塁審に聞く</w:t>
      </w:r>
    </w:p>
    <w:p w14:paraId="1890D5E7" w14:textId="28883D24" w:rsidR="007D6271" w:rsidRDefault="007D6271" w:rsidP="007B117C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聞き方として、球審は‘D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id he go?’</w:t>
      </w:r>
    </w:p>
    <w:p w14:paraId="0D9E67C5" w14:textId="7591CE98" w:rsidR="007D6271" w:rsidRDefault="007D6271" w:rsidP="007B117C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振った場合は、　　　</w:t>
      </w:r>
      <w:r>
        <w:t>“Yes, he went</w:t>
      </w:r>
      <w:r>
        <w:t>！</w:t>
      </w:r>
      <w:r>
        <w:t>”</w:t>
      </w:r>
    </w:p>
    <w:p w14:paraId="04E35270" w14:textId="1C0FE020" w:rsidR="00BA6B88" w:rsidRPr="00975381" w:rsidRDefault="007D6271" w:rsidP="00975381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振っていない場合は　</w:t>
      </w:r>
      <w:r>
        <w:t>“No, he didn’t go</w:t>
      </w:r>
      <w:r>
        <w:t>！</w:t>
      </w:r>
    </w:p>
    <w:p w14:paraId="160AC2B8" w14:textId="77777777" w:rsidR="00BC0426" w:rsidRPr="00F505B1" w:rsidRDefault="00BC0426" w:rsidP="0004690A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5DCC3EB" w14:textId="77777777" w:rsidR="00773F74" w:rsidRPr="00F505B1" w:rsidRDefault="00773F74" w:rsidP="00773F74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一塁審判フォースプレイについて</w:t>
      </w:r>
    </w:p>
    <w:p w14:paraId="7154D540" w14:textId="77777777" w:rsidR="00773F74" w:rsidRPr="00F505B1" w:rsidRDefault="00773F74" w:rsidP="00773F74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一塁ベースのフォースプレイ判定の練習を行う。</w:t>
      </w:r>
    </w:p>
    <w:p w14:paraId="5E85F202" w14:textId="77777777" w:rsidR="00FF2736" w:rsidRDefault="00FF2736" w:rsidP="00773F7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ファウルラインに対して基本45度の</w:t>
      </w:r>
      <w:r w:rsidR="00773F74" w:rsidRPr="00F505B1">
        <w:rPr>
          <w:rFonts w:asciiTheme="minorEastAsia" w:hAnsiTheme="minorEastAsia" w:hint="eastAsia"/>
          <w:szCs w:val="21"/>
        </w:rPr>
        <w:t>角度を取って、バッターランナーの触塁と</w:t>
      </w:r>
    </w:p>
    <w:p w14:paraId="34C225A2" w14:textId="28536EE5" w:rsidR="00A12D0A" w:rsidRDefault="00773F74" w:rsidP="00A12D0A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野手の捕球、触塁のタイミングを見極め、しっかりと判定する。</w:t>
      </w:r>
    </w:p>
    <w:p w14:paraId="23D22262" w14:textId="155FDB59" w:rsidR="00A12D0A" w:rsidRDefault="00A12D0A" w:rsidP="00A12D0A">
      <w:pPr>
        <w:ind w:firstLineChars="200" w:firstLine="420"/>
        <w:rPr>
          <w:rFonts w:asciiTheme="minorEastAsia" w:hAnsiTheme="minorEastAsia"/>
          <w:szCs w:val="21"/>
        </w:rPr>
      </w:pPr>
      <w:bookmarkStart w:id="0" w:name="_Hlk57838299"/>
      <w:r>
        <w:rPr>
          <w:rFonts w:asciiTheme="minorEastAsia" w:hAnsiTheme="minorEastAsia" w:hint="eastAsia"/>
          <w:szCs w:val="21"/>
        </w:rPr>
        <w:t>一塁審判は、スタンディング、セットに関わらず、体をボール(投手)に正対する。</w:t>
      </w:r>
    </w:p>
    <w:p w14:paraId="196EB07D" w14:textId="4F7779B5" w:rsidR="00A12D0A" w:rsidRDefault="00A12D0A" w:rsidP="00A12D0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投球したら、首、または上半身で投球を追い、打球に対しての準備をする</w:t>
      </w:r>
    </w:p>
    <w:bookmarkEnd w:id="0"/>
    <w:p w14:paraId="0C59913B" w14:textId="77777777" w:rsidR="00B971E0" w:rsidRPr="00F505B1" w:rsidRDefault="00B971E0" w:rsidP="00FF2736">
      <w:pPr>
        <w:ind w:firstLineChars="200" w:firstLine="420"/>
        <w:rPr>
          <w:rFonts w:asciiTheme="minorEastAsia" w:hAnsiTheme="minorEastAsia"/>
          <w:szCs w:val="21"/>
        </w:rPr>
      </w:pPr>
    </w:p>
    <w:p w14:paraId="63252E51" w14:textId="77777777" w:rsidR="00330445" w:rsidRPr="00F505B1" w:rsidRDefault="00FF2736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走者一塁時の二塁のポジショニングについて</w:t>
      </w:r>
    </w:p>
    <w:p w14:paraId="246EC7DF" w14:textId="77777777" w:rsidR="004E6B8D" w:rsidRPr="00F505B1" w:rsidRDefault="004E6B8D" w:rsidP="004E6B8D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一塁ベース、二塁ベースでフォースプレイ判定の練習を行う。</w:t>
      </w:r>
    </w:p>
    <w:p w14:paraId="48F685CF" w14:textId="77777777" w:rsidR="004E6B8D" w:rsidRPr="00F505B1" w:rsidRDefault="004E6B8D" w:rsidP="004E6B8D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しっかり、角度を取って、バッターランナーの触塁と野手の捕球、触塁の</w:t>
      </w:r>
    </w:p>
    <w:p w14:paraId="34784133" w14:textId="77777777" w:rsidR="004E6B8D" w:rsidRPr="00F505B1" w:rsidRDefault="004E6B8D" w:rsidP="004E6B8D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　タイミングを見極め、しっかりと判定する。</w:t>
      </w:r>
    </w:p>
    <w:p w14:paraId="046A03B1" w14:textId="77777777" w:rsidR="004E6B8D" w:rsidRPr="00F505B1" w:rsidRDefault="004E6B8D" w:rsidP="004E6B8D">
      <w:pPr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  また、ダブルプレイ時の二塁審判は、スタンディングポジションで二塁ベースに</w:t>
      </w:r>
    </w:p>
    <w:p w14:paraId="721C5FAF" w14:textId="77777777" w:rsidR="004E6B8D" w:rsidRPr="00F505B1" w:rsidRDefault="004E6B8D" w:rsidP="004E6B8D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lastRenderedPageBreak/>
        <w:t>正対し、判定を行う。打球が向かってきた場合、ボールをかわす際に、野手の視界を</w:t>
      </w:r>
    </w:p>
    <w:p w14:paraId="458FBA3B" w14:textId="3584E60E" w:rsidR="004E6B8D" w:rsidRDefault="004E6B8D" w:rsidP="004E6B8D">
      <w:pPr>
        <w:ind w:firstLineChars="200" w:firstLine="420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>遮らないため、打球の避け方に注意する。</w:t>
      </w:r>
    </w:p>
    <w:p w14:paraId="467A74A3" w14:textId="79AA88F2" w:rsidR="00A12D0A" w:rsidRDefault="00A12D0A" w:rsidP="004E6B8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盗塁時は捕手からの送球に対して、２ステップでターンし、判定に備える。</w:t>
      </w:r>
    </w:p>
    <w:p w14:paraId="04AAE03C" w14:textId="3CA4B1E6" w:rsidR="00A12D0A" w:rsidRPr="00F505B1" w:rsidRDefault="00A12D0A" w:rsidP="00A12D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三塁審判の</w:t>
      </w:r>
      <w:r w:rsidR="008722E7">
        <w:rPr>
          <w:rFonts w:asciiTheme="minorEastAsia" w:hAnsiTheme="minorEastAsia" w:hint="eastAsia"/>
          <w:szCs w:val="21"/>
        </w:rPr>
        <w:t>フォースプレイ</w:t>
      </w:r>
      <w:r>
        <w:rPr>
          <w:rFonts w:asciiTheme="minorEastAsia" w:hAnsiTheme="minorEastAsia" w:hint="eastAsia"/>
          <w:szCs w:val="21"/>
        </w:rPr>
        <w:t>の判定の位置について</w:t>
      </w:r>
    </w:p>
    <w:p w14:paraId="35E83470" w14:textId="051AE9BC" w:rsidR="004E6B8D" w:rsidRDefault="00BF3E08" w:rsidP="004E6B8D">
      <w:pPr>
        <w:ind w:firstLineChars="200" w:firstLine="420"/>
      </w:pPr>
      <w:r>
        <w:rPr>
          <w:rFonts w:asciiTheme="minorEastAsia" w:hAnsiTheme="minorEastAsia" w:hint="eastAsia"/>
          <w:szCs w:val="21"/>
        </w:rPr>
        <w:t>打者がバンドしたら、</w:t>
      </w:r>
      <w:r>
        <w:t>３塁コーチャースボックスの本塁側の角のあたりに移動す</w:t>
      </w:r>
      <w:r>
        <w:rPr>
          <w:rFonts w:hint="eastAsia"/>
        </w:rPr>
        <w:t>し、</w:t>
      </w:r>
    </w:p>
    <w:p w14:paraId="74859541" w14:textId="5843AB50" w:rsidR="00BF3E08" w:rsidRDefault="00BF3E08" w:rsidP="004E6B8D">
      <w:pPr>
        <w:ind w:firstLineChars="200" w:firstLine="420"/>
      </w:pPr>
      <w:r>
        <w:rPr>
          <w:rFonts w:hint="eastAsia"/>
        </w:rPr>
        <w:t>ジャッジする</w:t>
      </w:r>
      <w:r w:rsidR="00233F1E">
        <w:rPr>
          <w:rFonts w:hint="eastAsia"/>
        </w:rPr>
        <w:t>。</w:t>
      </w:r>
    </w:p>
    <w:p w14:paraId="370FF54E" w14:textId="0FBA88C2" w:rsidR="00233F1E" w:rsidRDefault="00233F1E" w:rsidP="004E6B8D">
      <w:pPr>
        <w:ind w:firstLineChars="200" w:firstLine="420"/>
      </w:pPr>
      <w:r>
        <w:rPr>
          <w:rFonts w:hint="eastAsia"/>
        </w:rPr>
        <w:t>三塁への盗塁時もファイルテレトリーで判定。ファールラインに平行に３，４歩</w:t>
      </w:r>
    </w:p>
    <w:p w14:paraId="021D3C31" w14:textId="75D5ABE5" w:rsidR="00233F1E" w:rsidRPr="00F505B1" w:rsidRDefault="00233F1E" w:rsidP="004E6B8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</w:rPr>
        <w:t>移動し、ベースに正対してジャッジする。</w:t>
      </w:r>
    </w:p>
    <w:p w14:paraId="1EAEDC4F" w14:textId="55A99926" w:rsidR="00BF3E08" w:rsidRDefault="00BF3E08" w:rsidP="00BF3E0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三塁審判は、スタンディング、セットに関わらず、体をボール(投手)に正対する。</w:t>
      </w:r>
    </w:p>
    <w:p w14:paraId="35468FE0" w14:textId="6665383E" w:rsidR="00BF3E08" w:rsidRDefault="00BF3E08" w:rsidP="00BF3E0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投球したら、首、または上半身で投球を追い、打球に対しての準備をする</w:t>
      </w:r>
    </w:p>
    <w:p w14:paraId="542BA2E0" w14:textId="77777777" w:rsidR="00BF3E08" w:rsidRDefault="00BF3E08" w:rsidP="00BF3E08">
      <w:pPr>
        <w:ind w:firstLineChars="200" w:firstLine="420"/>
        <w:rPr>
          <w:rFonts w:asciiTheme="minorEastAsia" w:hAnsiTheme="minorEastAsia"/>
          <w:szCs w:val="21"/>
        </w:rPr>
      </w:pPr>
    </w:p>
    <w:p w14:paraId="4223B4B4" w14:textId="77777777" w:rsidR="009C15E6" w:rsidRDefault="009C15E6" w:rsidP="00B971E0">
      <w:pPr>
        <w:jc w:val="left"/>
        <w:rPr>
          <w:szCs w:val="21"/>
        </w:rPr>
      </w:pPr>
    </w:p>
    <w:p w14:paraId="7DEDA8CC" w14:textId="3627CE65" w:rsidR="00912849" w:rsidRPr="00F505B1" w:rsidRDefault="00EE77F8" w:rsidP="0091284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投球動作に関する説明</w:t>
      </w:r>
    </w:p>
    <w:p w14:paraId="2B1AAEF0" w14:textId="2D40FD13" w:rsidR="006A7712" w:rsidRDefault="00992D93" w:rsidP="00EE77F8">
      <w:pPr>
        <w:ind w:firstLineChars="50" w:firstLine="105"/>
        <w:rPr>
          <w:rFonts w:asciiTheme="minorEastAsia" w:hAnsiTheme="minorEastAsia"/>
          <w:szCs w:val="21"/>
        </w:rPr>
      </w:pPr>
      <w:r w:rsidRPr="00F505B1">
        <w:rPr>
          <w:rFonts w:asciiTheme="minorEastAsia" w:hAnsiTheme="minorEastAsia" w:hint="eastAsia"/>
          <w:szCs w:val="21"/>
        </w:rPr>
        <w:t xml:space="preserve">　</w:t>
      </w:r>
      <w:r w:rsidR="007F3500">
        <w:rPr>
          <w:rFonts w:asciiTheme="minorEastAsia" w:hAnsiTheme="minorEastAsia" w:hint="eastAsia"/>
          <w:szCs w:val="21"/>
        </w:rPr>
        <w:t xml:space="preserve">　　　</w:t>
      </w:r>
      <w:r w:rsidR="00EE77F8">
        <w:rPr>
          <w:rFonts w:asciiTheme="minorEastAsia" w:hAnsiTheme="minorEastAsia" w:hint="eastAsia"/>
          <w:szCs w:val="21"/>
        </w:rPr>
        <w:t>ボーク13種類の説明。協力校が高校の為、野球規則と高校野球ルールの</w:t>
      </w:r>
    </w:p>
    <w:p w14:paraId="3139875D" w14:textId="5234F67E" w:rsidR="00EE77F8" w:rsidRPr="00F505B1" w:rsidRDefault="00EE77F8" w:rsidP="00EE77F8">
      <w:pPr>
        <w:ind w:firstLineChars="50" w:firstLine="105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違いの説明。</w:t>
      </w:r>
    </w:p>
    <w:p w14:paraId="39B5FB0A" w14:textId="4A2F8014" w:rsidR="00BC0426" w:rsidRDefault="00EE77F8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 2段モーションはルールブックから削除されたが、高校野球では引き続き禁止</w:t>
      </w:r>
    </w:p>
    <w:p w14:paraId="156C7DE9" w14:textId="77777777" w:rsidR="00BC0426" w:rsidRPr="00AD700A" w:rsidRDefault="00BC0426" w:rsidP="00295180">
      <w:pPr>
        <w:rPr>
          <w:rFonts w:asciiTheme="minorEastAsia" w:hAnsiTheme="minorEastAsia"/>
          <w:szCs w:val="21"/>
        </w:rPr>
      </w:pPr>
    </w:p>
    <w:p w14:paraId="7E270DDC" w14:textId="77777777" w:rsidR="007F5508" w:rsidRDefault="00CC6E11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座学での</w:t>
      </w:r>
      <w:r w:rsidR="007F5508" w:rsidRPr="00F505B1">
        <w:rPr>
          <w:rFonts w:asciiTheme="minorEastAsia" w:hAnsiTheme="minorEastAsia" w:hint="eastAsia"/>
          <w:szCs w:val="21"/>
        </w:rPr>
        <w:t>報告</w:t>
      </w:r>
    </w:p>
    <w:p w14:paraId="01E94E4E" w14:textId="7AB8C509" w:rsidR="00A93CA4" w:rsidRDefault="006D7DFE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A44A6">
        <w:rPr>
          <w:rFonts w:asciiTheme="minorEastAsia" w:hAnsiTheme="minorEastAsia" w:hint="eastAsia"/>
          <w:szCs w:val="21"/>
        </w:rPr>
        <w:t>下記について説明</w:t>
      </w:r>
    </w:p>
    <w:p w14:paraId="1D6BF6EA" w14:textId="77777777" w:rsidR="004B6BE4" w:rsidRDefault="004B6BE4" w:rsidP="00295180">
      <w:pPr>
        <w:rPr>
          <w:rFonts w:asciiTheme="minorEastAsia" w:hAnsiTheme="minorEastAsia"/>
          <w:szCs w:val="21"/>
        </w:rPr>
      </w:pPr>
    </w:p>
    <w:p w14:paraId="34165EF8" w14:textId="4CB9D5A2" w:rsidR="00F6200C" w:rsidRDefault="007A44A6" w:rsidP="007A44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93115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クイックリターンピッチ</w:t>
      </w:r>
      <w:r w:rsidR="001F38F2">
        <w:rPr>
          <w:rFonts w:asciiTheme="minorEastAsia" w:hAnsiTheme="minorEastAsia" w:hint="eastAsia"/>
          <w:szCs w:val="21"/>
        </w:rPr>
        <w:t>について</w:t>
      </w:r>
    </w:p>
    <w:p w14:paraId="59462F8D" w14:textId="77777777" w:rsidR="00F6200C" w:rsidRDefault="00F6200C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ワインドアップポジションのクイック投法については、公認野球規則　定義</w:t>
      </w:r>
      <w:r>
        <w:rPr>
          <w:rFonts w:asciiTheme="minorEastAsia" w:hAnsiTheme="minorEastAsia"/>
          <w:szCs w:val="21"/>
        </w:rPr>
        <w:t>64</w:t>
      </w:r>
      <w:r>
        <w:rPr>
          <w:rFonts w:asciiTheme="minorEastAsia" w:hAnsiTheme="minorEastAsia" w:hint="eastAsia"/>
          <w:szCs w:val="21"/>
        </w:rPr>
        <w:t>に</w:t>
      </w:r>
    </w:p>
    <w:p w14:paraId="749B1DCB" w14:textId="5EADB766" w:rsidR="00F6200C" w:rsidRDefault="00F6200C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記載してある通り、打者に対して虚をつく</w:t>
      </w:r>
      <w:r w:rsidR="007F353C">
        <w:rPr>
          <w:rFonts w:asciiTheme="minorEastAsia" w:hAnsiTheme="minorEastAsia" w:hint="eastAsia"/>
          <w:szCs w:val="21"/>
        </w:rPr>
        <w:t>行為の</w:t>
      </w:r>
      <w:r>
        <w:rPr>
          <w:rFonts w:asciiTheme="minorEastAsia" w:hAnsiTheme="minorEastAsia" w:hint="eastAsia"/>
          <w:szCs w:val="21"/>
        </w:rPr>
        <w:t>為、反則投球になる。</w:t>
      </w:r>
    </w:p>
    <w:p w14:paraId="4961AD7B" w14:textId="67DF5470" w:rsidR="0009120A" w:rsidRDefault="0009120A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</w:t>
      </w:r>
      <w:r>
        <w:rPr>
          <w:rFonts w:asciiTheme="minorEastAsia" w:hAnsiTheme="minorEastAsia" w:hint="eastAsia"/>
          <w:szCs w:val="21"/>
        </w:rPr>
        <w:t>規則書5</w:t>
      </w:r>
      <w:r>
        <w:rPr>
          <w:rFonts w:asciiTheme="minorEastAsia" w:hAnsiTheme="minorEastAsia"/>
          <w:szCs w:val="21"/>
        </w:rPr>
        <w:t>.07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a)</w:t>
      </w:r>
      <w:r>
        <w:rPr>
          <w:rFonts w:asciiTheme="minorEastAsia" w:hAnsiTheme="minorEastAsia" w:hint="eastAsia"/>
          <w:szCs w:val="21"/>
        </w:rPr>
        <w:t>（２）、6</w:t>
      </w:r>
      <w:r>
        <w:rPr>
          <w:rFonts w:asciiTheme="minorEastAsia" w:hAnsiTheme="minorEastAsia"/>
          <w:szCs w:val="21"/>
        </w:rPr>
        <w:t>.02(a)(5)</w:t>
      </w:r>
      <w:r>
        <w:rPr>
          <w:rFonts w:asciiTheme="minorEastAsia" w:hAnsiTheme="minorEastAsia" w:hint="eastAsia"/>
          <w:szCs w:val="21"/>
        </w:rPr>
        <w:t>、競技者必携 質疑応答6</w:t>
      </w:r>
      <w:r>
        <w:rPr>
          <w:rFonts w:asciiTheme="minorEastAsia" w:hAnsiTheme="minorEastAsia"/>
          <w:szCs w:val="21"/>
        </w:rPr>
        <w:t>.00</w:t>
      </w:r>
      <w:r>
        <w:rPr>
          <w:rFonts w:asciiTheme="minorEastAsia" w:hAnsiTheme="minorEastAsia" w:hint="eastAsia"/>
          <w:szCs w:val="21"/>
        </w:rPr>
        <w:t>、高校野球の</w:t>
      </w:r>
    </w:p>
    <w:p w14:paraId="7DB73C67" w14:textId="03BD8C19" w:rsidR="0009120A" w:rsidRDefault="0009120A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手引き‘投手に関する規則’に記載がある</w:t>
      </w:r>
    </w:p>
    <w:p w14:paraId="20450610" w14:textId="7C9C1729" w:rsidR="00C14FAA" w:rsidRDefault="003272F1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クイックピッチは危険</w:t>
      </w:r>
      <w:r w:rsidR="00FF7001">
        <w:rPr>
          <w:rFonts w:asciiTheme="minorEastAsia" w:hAnsiTheme="minorEastAsia" w:hint="eastAsia"/>
          <w:szCs w:val="21"/>
        </w:rPr>
        <w:t>の為、厳しく指導する。</w:t>
      </w:r>
    </w:p>
    <w:p w14:paraId="13065886" w14:textId="77777777" w:rsidR="00546322" w:rsidRDefault="00546322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757ED5CF" w14:textId="7C0B2B11" w:rsidR="001F38F2" w:rsidRDefault="0009120A" w:rsidP="0009120A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93115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投手の1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秒ルール、20秒ルールの適用</w:t>
      </w:r>
    </w:p>
    <w:p w14:paraId="1DDD4AD5" w14:textId="5E5004E3" w:rsidR="001431CB" w:rsidRDefault="001431CB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09120A">
        <w:rPr>
          <w:rFonts w:asciiTheme="minorEastAsia" w:hAnsiTheme="minorEastAsia" w:hint="eastAsia"/>
          <w:szCs w:val="21"/>
        </w:rPr>
        <w:t>投手は走者がいない時、捕手または野手からボールを受けたら1</w:t>
      </w:r>
      <w:r w:rsidR="0009120A">
        <w:rPr>
          <w:rFonts w:asciiTheme="minorEastAsia" w:hAnsiTheme="minorEastAsia"/>
          <w:szCs w:val="21"/>
        </w:rPr>
        <w:t>2</w:t>
      </w:r>
      <w:r w:rsidR="0009120A">
        <w:rPr>
          <w:rFonts w:asciiTheme="minorEastAsia" w:hAnsiTheme="minorEastAsia" w:hint="eastAsia"/>
          <w:szCs w:val="21"/>
        </w:rPr>
        <w:t>秒以内に</w:t>
      </w:r>
    </w:p>
    <w:p w14:paraId="79656954" w14:textId="3D0EF140" w:rsidR="0009120A" w:rsidRDefault="0009120A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投球しなくてはいけない。これに違反した場合は、即ボール</w:t>
      </w:r>
      <w:r w:rsidR="0051013D">
        <w:rPr>
          <w:rFonts w:asciiTheme="minorEastAsia" w:hAnsiTheme="minorEastAsia" w:hint="eastAsia"/>
          <w:szCs w:val="21"/>
        </w:rPr>
        <w:t>が宣告される</w:t>
      </w:r>
      <w:r>
        <w:rPr>
          <w:rFonts w:asciiTheme="minorEastAsia" w:hAnsiTheme="minorEastAsia" w:hint="eastAsia"/>
          <w:szCs w:val="21"/>
        </w:rPr>
        <w:t>。</w:t>
      </w:r>
    </w:p>
    <w:p w14:paraId="4D8C7EC2" w14:textId="00E0EC71" w:rsidR="006E7988" w:rsidRDefault="006E7988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09120A">
        <w:rPr>
          <w:rFonts w:asciiTheme="minorEastAsia" w:hAnsiTheme="minorEastAsia" w:hint="eastAsia"/>
          <w:szCs w:val="21"/>
        </w:rPr>
        <w:t xml:space="preserve">　</w:t>
      </w:r>
      <w:r w:rsidR="0051013D">
        <w:rPr>
          <w:rFonts w:asciiTheme="minorEastAsia" w:hAnsiTheme="minorEastAsia" w:hint="eastAsia"/>
          <w:szCs w:val="21"/>
        </w:rPr>
        <w:t>投手は</w:t>
      </w:r>
      <w:r w:rsidR="0009120A">
        <w:rPr>
          <w:rFonts w:asciiTheme="minorEastAsia" w:hAnsiTheme="minorEastAsia" w:hint="eastAsia"/>
          <w:szCs w:val="21"/>
        </w:rPr>
        <w:t>走者がいる場合は、</w:t>
      </w:r>
      <w:r w:rsidR="0051013D">
        <w:rPr>
          <w:rFonts w:asciiTheme="minorEastAsia" w:hAnsiTheme="minorEastAsia" w:hint="eastAsia"/>
          <w:szCs w:val="21"/>
        </w:rPr>
        <w:t>捕手、野手からボールを受けたら、20秒以内に</w:t>
      </w:r>
    </w:p>
    <w:p w14:paraId="78E413DE" w14:textId="71840278" w:rsidR="0051013D" w:rsidRDefault="0051013D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投球しなくてはいけない。これに違反したら、2回目までは警告、3回目は</w:t>
      </w:r>
    </w:p>
    <w:p w14:paraId="1C48CAE2" w14:textId="7C1FD98F" w:rsidR="0051013D" w:rsidRDefault="0051013D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ボールが宣告される。館林支部はストップウォッチを各グランドに各2個用意</w:t>
      </w:r>
    </w:p>
    <w:p w14:paraId="705FB1E6" w14:textId="51EC2BC6" w:rsidR="0051013D" w:rsidRDefault="0051013D" w:rsidP="009D105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しましたので、来シーズンは審判員で活用方法も勉強する。</w:t>
      </w:r>
    </w:p>
    <w:p w14:paraId="6C5830AE" w14:textId="0E5076AE" w:rsidR="004B6BE4" w:rsidRDefault="004B6BE4" w:rsidP="0051013D">
      <w:pPr>
        <w:ind w:firstLineChars="500" w:firstLine="1050"/>
        <w:rPr>
          <w:rFonts w:asciiTheme="minorEastAsia" w:hAnsiTheme="minorEastAsia"/>
          <w:szCs w:val="21"/>
        </w:rPr>
      </w:pPr>
    </w:p>
    <w:p w14:paraId="3FE5A13E" w14:textId="77777777" w:rsidR="004B6BE4" w:rsidRDefault="004B6BE4" w:rsidP="0051013D">
      <w:pPr>
        <w:ind w:firstLineChars="500" w:firstLine="1050"/>
        <w:rPr>
          <w:rFonts w:asciiTheme="minorEastAsia" w:hAnsiTheme="minorEastAsia"/>
          <w:szCs w:val="21"/>
        </w:rPr>
      </w:pPr>
    </w:p>
    <w:p w14:paraId="18F0C51C" w14:textId="3845A12A" w:rsidR="00E14BAB" w:rsidRDefault="00E14BAB" w:rsidP="00E14BAB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　 攻守交代時の追い出しについて</w:t>
      </w:r>
    </w:p>
    <w:p w14:paraId="6244907D" w14:textId="3522F90B" w:rsidR="00E14BAB" w:rsidRDefault="00E14BAB" w:rsidP="00E14BAB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守備側はバッテリーを先に出させる。</w:t>
      </w:r>
    </w:p>
    <w:p w14:paraId="649B31A0" w14:textId="77777777" w:rsidR="00E14BAB" w:rsidRDefault="00E14BAB" w:rsidP="00E14BAB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攻撃側は打者をネクストバッターサークルで待機させ、ラストで捕手が投手</w:t>
      </w:r>
    </w:p>
    <w:p w14:paraId="10CD84FB" w14:textId="67AE8FA1" w:rsidR="00E14BAB" w:rsidRDefault="00E14BAB" w:rsidP="00E14BA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または野手に投げたら、</w:t>
      </w:r>
      <w:r w:rsidR="00DA1B76">
        <w:rPr>
          <w:rFonts w:asciiTheme="minorEastAsia" w:hAnsiTheme="minorEastAsia" w:hint="eastAsia"/>
          <w:szCs w:val="21"/>
        </w:rPr>
        <w:t>バッターボックスに移動させる</w:t>
      </w:r>
    </w:p>
    <w:p w14:paraId="1F9BADAC" w14:textId="77777777" w:rsidR="00020A79" w:rsidRDefault="00020A79" w:rsidP="00E14BAB">
      <w:pPr>
        <w:ind w:firstLineChars="400" w:firstLine="840"/>
        <w:rPr>
          <w:rFonts w:asciiTheme="minorEastAsia" w:hAnsiTheme="minorEastAsia"/>
          <w:szCs w:val="21"/>
        </w:rPr>
      </w:pPr>
    </w:p>
    <w:p w14:paraId="0E0C2F0F" w14:textId="34983D08" w:rsidR="00E14BAB" w:rsidRDefault="00E14BAB" w:rsidP="00DA1B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20A79">
        <w:rPr>
          <w:rFonts w:asciiTheme="minorEastAsia" w:hAnsiTheme="minorEastAsia" w:hint="eastAsia"/>
          <w:szCs w:val="21"/>
        </w:rPr>
        <w:t>4　　 県大会で改造バットの認識がないチームが多い。支部予選においても準々決勝</w:t>
      </w:r>
    </w:p>
    <w:p w14:paraId="4F6A3DB0" w14:textId="62858739" w:rsidR="00020A79" w:rsidRDefault="00020A79" w:rsidP="00DA1B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から用具点検を行うこと。</w:t>
      </w:r>
    </w:p>
    <w:p w14:paraId="37A1893F" w14:textId="4B1B132C" w:rsidR="00CE535A" w:rsidRDefault="00CE535A" w:rsidP="00DA1B76">
      <w:pPr>
        <w:rPr>
          <w:rFonts w:asciiTheme="minorEastAsia" w:hAnsiTheme="minorEastAsia"/>
          <w:szCs w:val="21"/>
        </w:rPr>
      </w:pPr>
    </w:p>
    <w:p w14:paraId="1E3D365E" w14:textId="77777777" w:rsidR="00895D23" w:rsidRDefault="00CE535A" w:rsidP="00DA1B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5　　 バッターボックスルールの認識が薄くなっているので、引く続き</w:t>
      </w:r>
      <w:r w:rsidR="00895D23">
        <w:rPr>
          <w:rFonts w:asciiTheme="minorEastAsia" w:hAnsiTheme="minorEastAsia" w:hint="eastAsia"/>
          <w:szCs w:val="21"/>
        </w:rPr>
        <w:t>審判員、</w:t>
      </w:r>
    </w:p>
    <w:p w14:paraId="00F9FBD4" w14:textId="37477147" w:rsidR="00CE535A" w:rsidRDefault="00CE535A" w:rsidP="00895D23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各チームに指導していく</w:t>
      </w:r>
    </w:p>
    <w:p w14:paraId="0C1D30F9" w14:textId="77777777" w:rsidR="009527A7" w:rsidRDefault="009527A7" w:rsidP="00895D23">
      <w:pPr>
        <w:ind w:firstLineChars="400" w:firstLine="840"/>
        <w:rPr>
          <w:rFonts w:asciiTheme="minorEastAsia" w:hAnsiTheme="minorEastAsia"/>
          <w:szCs w:val="21"/>
        </w:rPr>
      </w:pPr>
    </w:p>
    <w:p w14:paraId="21E7A6DB" w14:textId="5C7E24C5" w:rsidR="006E7988" w:rsidRDefault="009527A7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6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プレイを見る際は、止まって、角度をとってみる。</w:t>
      </w:r>
    </w:p>
    <w:p w14:paraId="3279EF25" w14:textId="1652D539" w:rsidR="009527A7" w:rsidRDefault="009527A7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外野飛球の判定は一歩近づき、早めに止まり、プレイを待ち受ける</w:t>
      </w:r>
    </w:p>
    <w:p w14:paraId="02CA984B" w14:textId="1A888DC5" w:rsidR="009527A7" w:rsidRDefault="009527A7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外野プライはライン際、低いライナーはセットで見る。背走打球は視野を広げて</w:t>
      </w:r>
    </w:p>
    <w:p w14:paraId="03B37558" w14:textId="06C4C595" w:rsidR="009527A7" w:rsidRDefault="009527A7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スタンディングで見る</w:t>
      </w:r>
    </w:p>
    <w:p w14:paraId="0FD1404C" w14:textId="5161D625" w:rsidR="009527A7" w:rsidRPr="00E14BAB" w:rsidRDefault="009527A7" w:rsidP="002951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1C8E44C4" w14:textId="77777777" w:rsidR="00E14BAB" w:rsidRDefault="00E14BAB" w:rsidP="00295180">
      <w:pPr>
        <w:rPr>
          <w:rFonts w:asciiTheme="minorEastAsia" w:hAnsiTheme="minorEastAsia"/>
          <w:szCs w:val="21"/>
        </w:rPr>
      </w:pPr>
    </w:p>
    <w:p w14:paraId="5EF23EC4" w14:textId="77777777" w:rsidR="00AD700A" w:rsidRDefault="00AD700A" w:rsidP="00AD700A">
      <w:r>
        <w:rPr>
          <w:rFonts w:hint="eastAsia"/>
        </w:rPr>
        <w:t>総括</w:t>
      </w:r>
    </w:p>
    <w:p w14:paraId="0E5ECEC8" w14:textId="77777777" w:rsidR="00AD700A" w:rsidRDefault="00AD700A" w:rsidP="00C01DAA">
      <w:pPr>
        <w:ind w:firstLineChars="200" w:firstLine="420"/>
      </w:pPr>
      <w:r>
        <w:rPr>
          <w:rFonts w:hint="eastAsia"/>
        </w:rPr>
        <w:t>実技講習会においては、</w:t>
      </w:r>
      <w:r>
        <w:rPr>
          <w:rFonts w:hint="eastAsia"/>
        </w:rPr>
        <w:t>Go-Stop-Call</w:t>
      </w:r>
      <w:r>
        <w:rPr>
          <w:rFonts w:hint="eastAsia"/>
        </w:rPr>
        <w:t>、球審の構え、フォースプレイの</w:t>
      </w:r>
    </w:p>
    <w:p w14:paraId="662F7F82" w14:textId="77777777" w:rsidR="0004690A" w:rsidRDefault="00AD700A" w:rsidP="00C01DAA">
      <w:pPr>
        <w:ind w:firstLineChars="200" w:firstLine="420"/>
      </w:pPr>
      <w:r>
        <w:rPr>
          <w:rFonts w:hint="eastAsia"/>
        </w:rPr>
        <w:t>位置取り、フ</w:t>
      </w:r>
      <w:r w:rsidR="0004690A">
        <w:rPr>
          <w:rFonts w:hint="eastAsia"/>
        </w:rPr>
        <w:t>ォーメーションにおいても、ポーズ、リード、リアクションを意識し</w:t>
      </w:r>
    </w:p>
    <w:p w14:paraId="473B888D" w14:textId="77777777" w:rsidR="0004690A" w:rsidRDefault="0004690A" w:rsidP="0004690A">
      <w:pPr>
        <w:ind w:firstLineChars="200" w:firstLine="420"/>
      </w:pPr>
      <w:r>
        <w:rPr>
          <w:rFonts w:hint="eastAsia"/>
        </w:rPr>
        <w:t>まず、しっかり打球、廻りを見る、その上で野手や他クルーの動きを見て動くなど、</w:t>
      </w:r>
    </w:p>
    <w:p w14:paraId="47BBC88A" w14:textId="069E2114" w:rsidR="009A0288" w:rsidRDefault="0004690A" w:rsidP="00CE535A">
      <w:pPr>
        <w:ind w:firstLineChars="200" w:firstLine="420"/>
      </w:pPr>
      <w:r>
        <w:rPr>
          <w:rFonts w:hint="eastAsia"/>
        </w:rPr>
        <w:t>基本のおさらいと、状況判断の確認が出来たと思います。</w:t>
      </w:r>
    </w:p>
    <w:p w14:paraId="0A0940C2" w14:textId="5C726E5B" w:rsidR="006C4FF1" w:rsidRDefault="00CE535A" w:rsidP="00D647C5">
      <w:pPr>
        <w:ind w:firstLineChars="200" w:firstLine="420"/>
      </w:pPr>
      <w:r>
        <w:rPr>
          <w:rFonts w:hint="eastAsia"/>
        </w:rPr>
        <w:t>講習会後の座学において</w:t>
      </w:r>
      <w:r w:rsidR="00D647C5">
        <w:rPr>
          <w:rFonts w:hint="eastAsia"/>
        </w:rPr>
        <w:t>、</w:t>
      </w:r>
      <w:r>
        <w:rPr>
          <w:rFonts w:hint="eastAsia"/>
        </w:rPr>
        <w:t>教示された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秒ルール、</w:t>
      </w:r>
      <w:r>
        <w:rPr>
          <w:rFonts w:hint="eastAsia"/>
        </w:rPr>
        <w:t>20</w:t>
      </w:r>
      <w:r>
        <w:rPr>
          <w:rFonts w:hint="eastAsia"/>
        </w:rPr>
        <w:t>秒ルールの適用、</w:t>
      </w:r>
    </w:p>
    <w:p w14:paraId="2D008256" w14:textId="0A2FBED4" w:rsidR="00CE535A" w:rsidRDefault="0063114E" w:rsidP="00D647C5">
      <w:pPr>
        <w:ind w:firstLineChars="200" w:firstLine="420"/>
      </w:pPr>
      <w:r>
        <w:rPr>
          <w:rFonts w:hint="eastAsia"/>
        </w:rPr>
        <w:t>選手の追い出し、クイックリターンピッチ等については、支部審判員に伝達し</w:t>
      </w:r>
    </w:p>
    <w:p w14:paraId="2006182A" w14:textId="42D0FFF6" w:rsidR="00D647C5" w:rsidRDefault="0063114E" w:rsidP="0063114E">
      <w:pPr>
        <w:ind w:firstLineChars="200" w:firstLine="420"/>
      </w:pPr>
      <w:r>
        <w:rPr>
          <w:rFonts w:hint="eastAsia"/>
        </w:rPr>
        <w:t>来年度から適用できるようにしていきたいと思います。</w:t>
      </w:r>
    </w:p>
    <w:p w14:paraId="24D9B3E3" w14:textId="77777777" w:rsidR="006C4FF1" w:rsidRDefault="006C4FF1" w:rsidP="009A0288">
      <w:pPr>
        <w:ind w:firstLineChars="200" w:firstLine="420"/>
      </w:pPr>
    </w:p>
    <w:p w14:paraId="4ED6E0E2" w14:textId="77777777" w:rsidR="006C4FF1" w:rsidRPr="00E006FB" w:rsidRDefault="006C4FF1" w:rsidP="006C4FF1">
      <w:pPr>
        <w:ind w:firstLineChars="200" w:firstLine="420"/>
        <w:jc w:val="right"/>
      </w:pPr>
      <w:r>
        <w:rPr>
          <w:rFonts w:hint="eastAsia"/>
        </w:rPr>
        <w:t>以上</w:t>
      </w:r>
    </w:p>
    <w:sectPr w:rsidR="006C4FF1" w:rsidRPr="00E006FB" w:rsidSect="002339A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E1D9" w14:textId="77777777" w:rsidR="00D3706A" w:rsidRDefault="00D3706A" w:rsidP="00272693">
      <w:r>
        <w:separator/>
      </w:r>
    </w:p>
  </w:endnote>
  <w:endnote w:type="continuationSeparator" w:id="0">
    <w:p w14:paraId="2949F011" w14:textId="77777777" w:rsidR="00D3706A" w:rsidRDefault="00D3706A" w:rsidP="0027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8336"/>
      <w:docPartObj>
        <w:docPartGallery w:val="Page Numbers (Bottom of Page)"/>
        <w:docPartUnique/>
      </w:docPartObj>
    </w:sdtPr>
    <w:sdtEndPr/>
    <w:sdtContent>
      <w:p w14:paraId="34647BB7" w14:textId="77777777" w:rsidR="00DE766D" w:rsidRDefault="00DE76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2D5" w:rsidRPr="001A72D5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0DEADE78" w14:textId="77777777" w:rsidR="00DE766D" w:rsidRDefault="00DE7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CA5AA" w14:textId="77777777" w:rsidR="00D3706A" w:rsidRDefault="00D3706A" w:rsidP="00272693">
      <w:r>
        <w:separator/>
      </w:r>
    </w:p>
  </w:footnote>
  <w:footnote w:type="continuationSeparator" w:id="0">
    <w:p w14:paraId="4341C308" w14:textId="77777777" w:rsidR="00D3706A" w:rsidRDefault="00D3706A" w:rsidP="0027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1755"/>
    <w:multiLevelType w:val="hybridMultilevel"/>
    <w:tmpl w:val="CB7E2584"/>
    <w:lvl w:ilvl="0" w:tplc="CB66B608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5D89239A"/>
    <w:multiLevelType w:val="hybridMultilevel"/>
    <w:tmpl w:val="726C11FE"/>
    <w:lvl w:ilvl="0" w:tplc="646A8DE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20"/>
    <w:rsid w:val="0000153B"/>
    <w:rsid w:val="00001656"/>
    <w:rsid w:val="000035D4"/>
    <w:rsid w:val="000052D3"/>
    <w:rsid w:val="00020A79"/>
    <w:rsid w:val="00026308"/>
    <w:rsid w:val="00030659"/>
    <w:rsid w:val="0003222B"/>
    <w:rsid w:val="0003532F"/>
    <w:rsid w:val="0004281C"/>
    <w:rsid w:val="0004690A"/>
    <w:rsid w:val="00046C79"/>
    <w:rsid w:val="00061F7C"/>
    <w:rsid w:val="00062CB0"/>
    <w:rsid w:val="000826DD"/>
    <w:rsid w:val="00086787"/>
    <w:rsid w:val="0009120A"/>
    <w:rsid w:val="00091AD6"/>
    <w:rsid w:val="00095EA7"/>
    <w:rsid w:val="000A587C"/>
    <w:rsid w:val="000B1BAF"/>
    <w:rsid w:val="000B6288"/>
    <w:rsid w:val="000C32E2"/>
    <w:rsid w:val="000D47D8"/>
    <w:rsid w:val="000D7A68"/>
    <w:rsid w:val="000E2D2A"/>
    <w:rsid w:val="000F3811"/>
    <w:rsid w:val="000F4F5A"/>
    <w:rsid w:val="00100ACF"/>
    <w:rsid w:val="00104308"/>
    <w:rsid w:val="00113293"/>
    <w:rsid w:val="001231D4"/>
    <w:rsid w:val="001431CB"/>
    <w:rsid w:val="0015091D"/>
    <w:rsid w:val="001537E6"/>
    <w:rsid w:val="00161D41"/>
    <w:rsid w:val="00167D08"/>
    <w:rsid w:val="0017045F"/>
    <w:rsid w:val="001735BB"/>
    <w:rsid w:val="001743CE"/>
    <w:rsid w:val="00180275"/>
    <w:rsid w:val="001822D9"/>
    <w:rsid w:val="001916F2"/>
    <w:rsid w:val="001A72D5"/>
    <w:rsid w:val="001B1E20"/>
    <w:rsid w:val="001B370E"/>
    <w:rsid w:val="001B7BCE"/>
    <w:rsid w:val="001C23A3"/>
    <w:rsid w:val="001C36E1"/>
    <w:rsid w:val="001E0010"/>
    <w:rsid w:val="001E0795"/>
    <w:rsid w:val="001E09C2"/>
    <w:rsid w:val="001F0A1C"/>
    <w:rsid w:val="001F0DD7"/>
    <w:rsid w:val="001F38F2"/>
    <w:rsid w:val="00207A59"/>
    <w:rsid w:val="00210F8E"/>
    <w:rsid w:val="00214750"/>
    <w:rsid w:val="0022737C"/>
    <w:rsid w:val="002305D7"/>
    <w:rsid w:val="002339AB"/>
    <w:rsid w:val="00233F1E"/>
    <w:rsid w:val="00247978"/>
    <w:rsid w:val="002535BC"/>
    <w:rsid w:val="00266072"/>
    <w:rsid w:val="00272693"/>
    <w:rsid w:val="00273F89"/>
    <w:rsid w:val="00295180"/>
    <w:rsid w:val="0029570D"/>
    <w:rsid w:val="00296AA5"/>
    <w:rsid w:val="002A4D63"/>
    <w:rsid w:val="002A7C2F"/>
    <w:rsid w:val="002B1366"/>
    <w:rsid w:val="002B5A90"/>
    <w:rsid w:val="002C7950"/>
    <w:rsid w:val="002D22D2"/>
    <w:rsid w:val="002D27BD"/>
    <w:rsid w:val="002D57CD"/>
    <w:rsid w:val="002E0494"/>
    <w:rsid w:val="002E2BCE"/>
    <w:rsid w:val="00303915"/>
    <w:rsid w:val="003072A1"/>
    <w:rsid w:val="00314FC2"/>
    <w:rsid w:val="003255F4"/>
    <w:rsid w:val="003272F1"/>
    <w:rsid w:val="003276B0"/>
    <w:rsid w:val="00330445"/>
    <w:rsid w:val="003316CB"/>
    <w:rsid w:val="00356CCC"/>
    <w:rsid w:val="003608EE"/>
    <w:rsid w:val="00373184"/>
    <w:rsid w:val="00380A65"/>
    <w:rsid w:val="0038307F"/>
    <w:rsid w:val="003B09E1"/>
    <w:rsid w:val="003B14D1"/>
    <w:rsid w:val="003C542C"/>
    <w:rsid w:val="003C7A85"/>
    <w:rsid w:val="003D1B5D"/>
    <w:rsid w:val="003D27E0"/>
    <w:rsid w:val="003E3397"/>
    <w:rsid w:val="003F0A06"/>
    <w:rsid w:val="003F5D54"/>
    <w:rsid w:val="00414487"/>
    <w:rsid w:val="00415DE1"/>
    <w:rsid w:val="0043275C"/>
    <w:rsid w:val="00432F2F"/>
    <w:rsid w:val="00476EE8"/>
    <w:rsid w:val="00477236"/>
    <w:rsid w:val="00493D50"/>
    <w:rsid w:val="004968F6"/>
    <w:rsid w:val="004B1465"/>
    <w:rsid w:val="004B6BE4"/>
    <w:rsid w:val="004C3CF1"/>
    <w:rsid w:val="004E42A8"/>
    <w:rsid w:val="004E6B8D"/>
    <w:rsid w:val="00504A63"/>
    <w:rsid w:val="0051013D"/>
    <w:rsid w:val="0051542E"/>
    <w:rsid w:val="005160CD"/>
    <w:rsid w:val="005312F1"/>
    <w:rsid w:val="005371E9"/>
    <w:rsid w:val="00546322"/>
    <w:rsid w:val="00552B2B"/>
    <w:rsid w:val="00553736"/>
    <w:rsid w:val="00554E45"/>
    <w:rsid w:val="00565E7E"/>
    <w:rsid w:val="005770D6"/>
    <w:rsid w:val="00592E84"/>
    <w:rsid w:val="00596C96"/>
    <w:rsid w:val="0059794C"/>
    <w:rsid w:val="005B0B71"/>
    <w:rsid w:val="005B6EAE"/>
    <w:rsid w:val="005D1C0D"/>
    <w:rsid w:val="005E0925"/>
    <w:rsid w:val="005E1425"/>
    <w:rsid w:val="005F124A"/>
    <w:rsid w:val="005F2BFC"/>
    <w:rsid w:val="00600C60"/>
    <w:rsid w:val="00606F61"/>
    <w:rsid w:val="0063114E"/>
    <w:rsid w:val="00633E62"/>
    <w:rsid w:val="00635A6C"/>
    <w:rsid w:val="00661B57"/>
    <w:rsid w:val="00661E59"/>
    <w:rsid w:val="00666589"/>
    <w:rsid w:val="00672446"/>
    <w:rsid w:val="0067776C"/>
    <w:rsid w:val="00683509"/>
    <w:rsid w:val="00687E7E"/>
    <w:rsid w:val="00692F37"/>
    <w:rsid w:val="006A7712"/>
    <w:rsid w:val="006B62EA"/>
    <w:rsid w:val="006C0986"/>
    <w:rsid w:val="006C4AE7"/>
    <w:rsid w:val="006C4FF1"/>
    <w:rsid w:val="006D42F1"/>
    <w:rsid w:val="006D6986"/>
    <w:rsid w:val="006D7950"/>
    <w:rsid w:val="006D7DFE"/>
    <w:rsid w:val="006E3D57"/>
    <w:rsid w:val="006E7988"/>
    <w:rsid w:val="006E7ED2"/>
    <w:rsid w:val="006F7AE8"/>
    <w:rsid w:val="006F7D24"/>
    <w:rsid w:val="00712E86"/>
    <w:rsid w:val="007149B0"/>
    <w:rsid w:val="00721701"/>
    <w:rsid w:val="00727E54"/>
    <w:rsid w:val="0073626D"/>
    <w:rsid w:val="00754382"/>
    <w:rsid w:val="00772A4E"/>
    <w:rsid w:val="00773846"/>
    <w:rsid w:val="00773F74"/>
    <w:rsid w:val="00785F26"/>
    <w:rsid w:val="007A1A4B"/>
    <w:rsid w:val="007A44A6"/>
    <w:rsid w:val="007B03BD"/>
    <w:rsid w:val="007B117C"/>
    <w:rsid w:val="007B49FB"/>
    <w:rsid w:val="007B59A9"/>
    <w:rsid w:val="007C45BC"/>
    <w:rsid w:val="007C538F"/>
    <w:rsid w:val="007C69D2"/>
    <w:rsid w:val="007D6271"/>
    <w:rsid w:val="007E4B85"/>
    <w:rsid w:val="007E5A96"/>
    <w:rsid w:val="007F3500"/>
    <w:rsid w:val="007F353C"/>
    <w:rsid w:val="007F5508"/>
    <w:rsid w:val="00811AA1"/>
    <w:rsid w:val="00815337"/>
    <w:rsid w:val="008252EB"/>
    <w:rsid w:val="00826A34"/>
    <w:rsid w:val="00830438"/>
    <w:rsid w:val="00830B4B"/>
    <w:rsid w:val="00832327"/>
    <w:rsid w:val="00832862"/>
    <w:rsid w:val="008425D9"/>
    <w:rsid w:val="008518E6"/>
    <w:rsid w:val="00854BD9"/>
    <w:rsid w:val="00863DE3"/>
    <w:rsid w:val="008722E7"/>
    <w:rsid w:val="0087402B"/>
    <w:rsid w:val="00890502"/>
    <w:rsid w:val="008908DE"/>
    <w:rsid w:val="00891B4D"/>
    <w:rsid w:val="00893EA3"/>
    <w:rsid w:val="00895D23"/>
    <w:rsid w:val="008A7616"/>
    <w:rsid w:val="008B0707"/>
    <w:rsid w:val="008B2393"/>
    <w:rsid w:val="008B24E7"/>
    <w:rsid w:val="008B41F1"/>
    <w:rsid w:val="008B49A4"/>
    <w:rsid w:val="008B7EC1"/>
    <w:rsid w:val="008C15A5"/>
    <w:rsid w:val="008C59FB"/>
    <w:rsid w:val="008C61EB"/>
    <w:rsid w:val="008D2FCE"/>
    <w:rsid w:val="008D6E74"/>
    <w:rsid w:val="008E4796"/>
    <w:rsid w:val="008E699C"/>
    <w:rsid w:val="008F025E"/>
    <w:rsid w:val="008F7DE7"/>
    <w:rsid w:val="00912849"/>
    <w:rsid w:val="0091346B"/>
    <w:rsid w:val="00914D21"/>
    <w:rsid w:val="00931159"/>
    <w:rsid w:val="00936566"/>
    <w:rsid w:val="0094174D"/>
    <w:rsid w:val="009527A7"/>
    <w:rsid w:val="00955D45"/>
    <w:rsid w:val="00967B3F"/>
    <w:rsid w:val="0097393A"/>
    <w:rsid w:val="00975381"/>
    <w:rsid w:val="00985D5F"/>
    <w:rsid w:val="00992D93"/>
    <w:rsid w:val="009A0288"/>
    <w:rsid w:val="009B4179"/>
    <w:rsid w:val="009C15E6"/>
    <w:rsid w:val="009D105B"/>
    <w:rsid w:val="009D5297"/>
    <w:rsid w:val="009D69E3"/>
    <w:rsid w:val="009F2790"/>
    <w:rsid w:val="00A00A2E"/>
    <w:rsid w:val="00A12D0A"/>
    <w:rsid w:val="00A12DD7"/>
    <w:rsid w:val="00A13911"/>
    <w:rsid w:val="00A2156F"/>
    <w:rsid w:val="00A3199F"/>
    <w:rsid w:val="00A378BB"/>
    <w:rsid w:val="00A47404"/>
    <w:rsid w:val="00A62938"/>
    <w:rsid w:val="00A67130"/>
    <w:rsid w:val="00A728AE"/>
    <w:rsid w:val="00A73CDB"/>
    <w:rsid w:val="00A83F3F"/>
    <w:rsid w:val="00A92B92"/>
    <w:rsid w:val="00A93CA4"/>
    <w:rsid w:val="00A9679F"/>
    <w:rsid w:val="00AA0540"/>
    <w:rsid w:val="00AA7B16"/>
    <w:rsid w:val="00AD536D"/>
    <w:rsid w:val="00AD700A"/>
    <w:rsid w:val="00AE0CD5"/>
    <w:rsid w:val="00AE359B"/>
    <w:rsid w:val="00AF0E65"/>
    <w:rsid w:val="00AF2D32"/>
    <w:rsid w:val="00B01255"/>
    <w:rsid w:val="00B07D55"/>
    <w:rsid w:val="00B1220B"/>
    <w:rsid w:val="00B34996"/>
    <w:rsid w:val="00B37B30"/>
    <w:rsid w:val="00B37B6E"/>
    <w:rsid w:val="00B37CED"/>
    <w:rsid w:val="00B4264C"/>
    <w:rsid w:val="00B51429"/>
    <w:rsid w:val="00B61586"/>
    <w:rsid w:val="00B67D71"/>
    <w:rsid w:val="00B70F9E"/>
    <w:rsid w:val="00B971E0"/>
    <w:rsid w:val="00BA5EFC"/>
    <w:rsid w:val="00BA6B88"/>
    <w:rsid w:val="00BB0E3C"/>
    <w:rsid w:val="00BB55DC"/>
    <w:rsid w:val="00BB5685"/>
    <w:rsid w:val="00BC0426"/>
    <w:rsid w:val="00BC4B67"/>
    <w:rsid w:val="00BD0239"/>
    <w:rsid w:val="00BD06D2"/>
    <w:rsid w:val="00BF394C"/>
    <w:rsid w:val="00BF3E08"/>
    <w:rsid w:val="00C01DAA"/>
    <w:rsid w:val="00C108EF"/>
    <w:rsid w:val="00C14FAA"/>
    <w:rsid w:val="00C152AE"/>
    <w:rsid w:val="00C159CE"/>
    <w:rsid w:val="00C21E7B"/>
    <w:rsid w:val="00C27EDB"/>
    <w:rsid w:val="00C357FF"/>
    <w:rsid w:val="00C401DF"/>
    <w:rsid w:val="00C4381E"/>
    <w:rsid w:val="00C47DE2"/>
    <w:rsid w:val="00C52B2D"/>
    <w:rsid w:val="00C60561"/>
    <w:rsid w:val="00C65447"/>
    <w:rsid w:val="00C67295"/>
    <w:rsid w:val="00C710EA"/>
    <w:rsid w:val="00C817F0"/>
    <w:rsid w:val="00CB3F3D"/>
    <w:rsid w:val="00CC4751"/>
    <w:rsid w:val="00CC6E11"/>
    <w:rsid w:val="00CC78F9"/>
    <w:rsid w:val="00CC7CC5"/>
    <w:rsid w:val="00CD35FB"/>
    <w:rsid w:val="00CD595D"/>
    <w:rsid w:val="00CE535A"/>
    <w:rsid w:val="00D0016E"/>
    <w:rsid w:val="00D00702"/>
    <w:rsid w:val="00D00FAA"/>
    <w:rsid w:val="00D143B5"/>
    <w:rsid w:val="00D150DB"/>
    <w:rsid w:val="00D20842"/>
    <w:rsid w:val="00D21B39"/>
    <w:rsid w:val="00D271DA"/>
    <w:rsid w:val="00D32A91"/>
    <w:rsid w:val="00D3706A"/>
    <w:rsid w:val="00D37423"/>
    <w:rsid w:val="00D44AD1"/>
    <w:rsid w:val="00D51235"/>
    <w:rsid w:val="00D559B6"/>
    <w:rsid w:val="00D63BD8"/>
    <w:rsid w:val="00D647C5"/>
    <w:rsid w:val="00D702F7"/>
    <w:rsid w:val="00D71CD5"/>
    <w:rsid w:val="00D85B05"/>
    <w:rsid w:val="00DA1280"/>
    <w:rsid w:val="00DA1B76"/>
    <w:rsid w:val="00DA7024"/>
    <w:rsid w:val="00DB5DC2"/>
    <w:rsid w:val="00DC2C24"/>
    <w:rsid w:val="00DC2ED6"/>
    <w:rsid w:val="00DC5E96"/>
    <w:rsid w:val="00DD2FE3"/>
    <w:rsid w:val="00DE24FB"/>
    <w:rsid w:val="00DE47DD"/>
    <w:rsid w:val="00DE766D"/>
    <w:rsid w:val="00E006FB"/>
    <w:rsid w:val="00E0141A"/>
    <w:rsid w:val="00E058BE"/>
    <w:rsid w:val="00E1332A"/>
    <w:rsid w:val="00E14BAB"/>
    <w:rsid w:val="00E26E00"/>
    <w:rsid w:val="00E473E1"/>
    <w:rsid w:val="00E53DCB"/>
    <w:rsid w:val="00E73BC5"/>
    <w:rsid w:val="00E962A7"/>
    <w:rsid w:val="00EA297A"/>
    <w:rsid w:val="00EA36B9"/>
    <w:rsid w:val="00EA4F10"/>
    <w:rsid w:val="00EA7E20"/>
    <w:rsid w:val="00EB0AC9"/>
    <w:rsid w:val="00ED0B8E"/>
    <w:rsid w:val="00ED5FEC"/>
    <w:rsid w:val="00EE2E60"/>
    <w:rsid w:val="00EE339C"/>
    <w:rsid w:val="00EE53FF"/>
    <w:rsid w:val="00EE77F8"/>
    <w:rsid w:val="00EF337D"/>
    <w:rsid w:val="00EF7BC2"/>
    <w:rsid w:val="00F10194"/>
    <w:rsid w:val="00F22CC3"/>
    <w:rsid w:val="00F32BC9"/>
    <w:rsid w:val="00F346D3"/>
    <w:rsid w:val="00F35684"/>
    <w:rsid w:val="00F37FB4"/>
    <w:rsid w:val="00F4304E"/>
    <w:rsid w:val="00F505B1"/>
    <w:rsid w:val="00F555EB"/>
    <w:rsid w:val="00F61F5A"/>
    <w:rsid w:val="00F6200C"/>
    <w:rsid w:val="00F6348F"/>
    <w:rsid w:val="00F72CE6"/>
    <w:rsid w:val="00F87903"/>
    <w:rsid w:val="00FA0EB7"/>
    <w:rsid w:val="00FB3A86"/>
    <w:rsid w:val="00FB762E"/>
    <w:rsid w:val="00FC01DF"/>
    <w:rsid w:val="00FF0675"/>
    <w:rsid w:val="00FF2736"/>
    <w:rsid w:val="00FF3278"/>
    <w:rsid w:val="00FF4231"/>
    <w:rsid w:val="00FF700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9FD2D"/>
  <w15:docId w15:val="{DB294629-ADE4-4FC4-8194-776188A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693"/>
  </w:style>
  <w:style w:type="paragraph" w:styleId="a5">
    <w:name w:val="footer"/>
    <w:basedOn w:val="a"/>
    <w:link w:val="a6"/>
    <w:uiPriority w:val="99"/>
    <w:unhideWhenUsed/>
    <w:rsid w:val="0027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693"/>
  </w:style>
  <w:style w:type="paragraph" w:styleId="HTML">
    <w:name w:val="HTML Preformatted"/>
    <w:basedOn w:val="a"/>
    <w:link w:val="HTML0"/>
    <w:uiPriority w:val="99"/>
    <w:unhideWhenUsed/>
    <w:rsid w:val="001E09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E09C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B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4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93952-66D3-4C10-B4D2-334C47D3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泰丈</dc:creator>
  <cp:lastModifiedBy>増田 泰丈</cp:lastModifiedBy>
  <cp:revision>2</cp:revision>
  <cp:lastPrinted>2020-12-04T12:05:00Z</cp:lastPrinted>
  <dcterms:created xsi:type="dcterms:W3CDTF">2021-02-27T11:32:00Z</dcterms:created>
  <dcterms:modified xsi:type="dcterms:W3CDTF">2021-02-27T11:32:00Z</dcterms:modified>
</cp:coreProperties>
</file>